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C9634" w14:textId="7777777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w:t>
      </w:r>
      <w:r w:rsidR="00673251">
        <w:rPr>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4D12B4" w:rsidRPr="004D12B4">
        <w:rPr>
          <w:bCs/>
          <w:noProof w:val="0"/>
          <w:sz w:val="24"/>
          <w:szCs w:val="24"/>
        </w:rPr>
        <w:t>04212</w:t>
      </w:r>
    </w:p>
    <w:p w14:paraId="0E7B11F3" w14:textId="77777777" w:rsidR="00CD4C7B" w:rsidRPr="00B266B0" w:rsidRDefault="00673251" w:rsidP="00CD4C7B">
      <w:pPr>
        <w:pStyle w:val="Header"/>
        <w:tabs>
          <w:tab w:val="right" w:pos="9639"/>
        </w:tabs>
        <w:rPr>
          <w:bCs/>
          <w:noProof w:val="0"/>
          <w:sz w:val="24"/>
          <w:szCs w:val="24"/>
        </w:rPr>
      </w:pPr>
      <w:r>
        <w:rPr>
          <w:rFonts w:eastAsia="SimSun"/>
          <w:noProof w:val="0"/>
          <w:sz w:val="24"/>
          <w:szCs w:val="24"/>
          <w:lang w:eastAsia="zh-CN"/>
        </w:rPr>
        <w:t>Hangzhou, China</w:t>
      </w:r>
      <w:r w:rsidR="00C24650" w:rsidRPr="00C24650">
        <w:rPr>
          <w:rFonts w:eastAsia="SimSun"/>
          <w:noProof w:val="0"/>
          <w:sz w:val="24"/>
          <w:szCs w:val="24"/>
          <w:lang w:eastAsia="zh-CN"/>
        </w:rPr>
        <w:t xml:space="preserve">, </w:t>
      </w:r>
      <w:r>
        <w:rPr>
          <w:rFonts w:eastAsia="SimSun"/>
          <w:noProof w:val="0"/>
          <w:sz w:val="24"/>
          <w:szCs w:val="24"/>
          <w:lang w:eastAsia="zh-CN"/>
        </w:rPr>
        <w:t>15</w:t>
      </w:r>
      <w:r w:rsidR="00C92967">
        <w:rPr>
          <w:rFonts w:eastAsia="SimSun"/>
          <w:noProof w:val="0"/>
          <w:sz w:val="24"/>
          <w:szCs w:val="24"/>
          <w:lang w:eastAsia="zh-CN"/>
        </w:rPr>
        <w:t xml:space="preserve"> - </w:t>
      </w:r>
      <w:r>
        <w:rPr>
          <w:rFonts w:eastAsia="SimSun"/>
          <w:noProof w:val="0"/>
          <w:sz w:val="24"/>
          <w:szCs w:val="24"/>
          <w:lang w:eastAsia="zh-CN"/>
        </w:rPr>
        <w:t>19</w:t>
      </w:r>
      <w:r w:rsidR="00C92967">
        <w:rPr>
          <w:rFonts w:eastAsia="SimSun"/>
          <w:noProof w:val="0"/>
          <w:sz w:val="24"/>
          <w:szCs w:val="24"/>
          <w:lang w:eastAsia="zh-CN"/>
        </w:rPr>
        <w:t xml:space="preserve"> </w:t>
      </w:r>
      <w:r>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226C4E94" w14:textId="77777777" w:rsidR="00CD4C7B" w:rsidRPr="00B266B0" w:rsidRDefault="00CD4C7B" w:rsidP="00CD4C7B">
      <w:pPr>
        <w:pStyle w:val="Header"/>
        <w:rPr>
          <w:bCs/>
          <w:noProof w:val="0"/>
          <w:sz w:val="24"/>
        </w:rPr>
      </w:pPr>
    </w:p>
    <w:p w14:paraId="300F3931" w14:textId="77777777" w:rsidR="00CD4C7B" w:rsidRPr="00B266B0" w:rsidRDefault="00CD4C7B" w:rsidP="00CD4C7B">
      <w:pPr>
        <w:pStyle w:val="Header"/>
        <w:rPr>
          <w:bCs/>
          <w:noProof w:val="0"/>
          <w:sz w:val="24"/>
        </w:rPr>
      </w:pPr>
    </w:p>
    <w:p w14:paraId="5311D3D5"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7151">
        <w:rPr>
          <w:rFonts w:cs="Arial"/>
          <w:b/>
          <w:bCs/>
          <w:sz w:val="24"/>
        </w:rPr>
        <w:t>10.4.1.1</w:t>
      </w:r>
    </w:p>
    <w:p w14:paraId="6DF873B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F7BE515"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0415B" w:rsidRPr="0030415B">
        <w:rPr>
          <w:rFonts w:ascii="Arial" w:hAnsi="Arial" w:cs="Arial"/>
          <w:b/>
          <w:bCs/>
          <w:sz w:val="24"/>
        </w:rPr>
        <w:t>UE capability handling in NR RRC</w:t>
      </w:r>
    </w:p>
    <w:p w14:paraId="7F103A0E"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0415B">
        <w:rPr>
          <w:rFonts w:ascii="Arial" w:hAnsi="Arial" w:cs="Arial"/>
          <w:b/>
          <w:bCs/>
          <w:sz w:val="24"/>
        </w:rPr>
        <w:t>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0415B">
        <w:rPr>
          <w:rFonts w:ascii="Arial" w:hAnsi="Arial" w:cs="Arial"/>
          <w:b/>
          <w:bCs/>
          <w:sz w:val="24"/>
        </w:rPr>
        <w:t>15</w:t>
      </w:r>
    </w:p>
    <w:p w14:paraId="2C902CC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213050B" w14:textId="77777777" w:rsidR="00CD4C7B" w:rsidRPr="006E13D1" w:rsidRDefault="00CD4C7B" w:rsidP="00CD4C7B">
      <w:pPr>
        <w:pStyle w:val="Heading1"/>
      </w:pPr>
      <w:r w:rsidRPr="006E13D1">
        <w:t>1</w:t>
      </w:r>
      <w:r w:rsidRPr="006E13D1">
        <w:tab/>
      </w:r>
      <w:r w:rsidR="0056573F">
        <w:t>Introduction</w:t>
      </w:r>
    </w:p>
    <w:p w14:paraId="1EB551A9" w14:textId="77777777" w:rsidR="007951F3" w:rsidRPr="006E13D1" w:rsidRDefault="007951F3" w:rsidP="00CD4C7B">
      <w:r>
        <w:t xml:space="preserve">The NR RRC </w:t>
      </w:r>
      <w:r w:rsidR="0030415B">
        <w:t>skeleton was introduced in</w:t>
      </w:r>
      <w:r>
        <w:t xml:space="preserve"> </w:t>
      </w:r>
      <w:hyperlink r:id="rId11" w:history="1">
        <w:r w:rsidR="00C7394D" w:rsidRPr="00C7394D">
          <w:rPr>
            <w:rStyle w:val="Hyperlink"/>
          </w:rPr>
          <w:t>R2-1703922</w:t>
        </w:r>
      </w:hyperlink>
      <w:r w:rsidR="0030415B">
        <w:t>, but as per RAN2#97bis discussions, the structure can be further discussed</w:t>
      </w:r>
      <w:r>
        <w:t xml:space="preserve">. In this contribution, we </w:t>
      </w:r>
      <w:r w:rsidR="0030415B">
        <w:t>discuss UE capability handling from NR RRC structure viewpoint</w:t>
      </w:r>
      <w:r>
        <w:t>.</w:t>
      </w:r>
    </w:p>
    <w:p w14:paraId="2D0A91FE" w14:textId="77777777" w:rsidR="00CD4C7B" w:rsidRPr="006E13D1" w:rsidRDefault="00CD4C7B" w:rsidP="00CD4C7B">
      <w:pPr>
        <w:pStyle w:val="Heading1"/>
      </w:pPr>
      <w:r w:rsidRPr="006E13D1">
        <w:t>2</w:t>
      </w:r>
      <w:r w:rsidRPr="006E13D1">
        <w:tab/>
      </w:r>
      <w:r w:rsidR="0030415B">
        <w:t>UE capability handling in LTE</w:t>
      </w:r>
      <w:r w:rsidR="007951F3">
        <w:t xml:space="preserve"> </w:t>
      </w:r>
    </w:p>
    <w:p w14:paraId="098F8FB3" w14:textId="77777777" w:rsidR="002D086E" w:rsidRDefault="00732457" w:rsidP="00CD4C7B">
      <w:r>
        <w:t>The UE capabilities have evolved a lot during the LTE lifetime, with constant updates being done at every release (and even in the middle of releases) to account for new features and corrections done. Until Rel-11, there also existed a separation of Feature Group Indicators (FGIs; mandatory capabilities with IOT bits) and optional capabilities (as defined by named capability bits in RRC)</w:t>
      </w:r>
      <w:r w:rsidR="002D086E">
        <w:t>, but the practice was done away in Rel-11 to simplify the handling of new capabilities.</w:t>
      </w:r>
    </w:p>
    <w:p w14:paraId="63887202" w14:textId="77777777" w:rsidR="002D086E" w:rsidRDefault="002D086E" w:rsidP="00CD4C7B">
      <w:r>
        <w:t>The CA capabilities in Rel-10 also created a conundrum: The structure that was done for the band combinations succeeded in the sense that the signalling has been flexible enough to work in all cases, but at the same time it has increased the size of UE capabilities substantially, to the point where it has become a limitation that needs to nbe taken into account in the design of new UE capabilities. Because of this, since Rel-11 the UE capability procedure was enhanced in Rel-11 to allow only requesting some capabilities to reduce the size, and the whole band combination capability signalling was revised in Rel-13 to allow even further size reductions.</w:t>
      </w:r>
    </w:p>
    <w:p w14:paraId="048AA879" w14:textId="220C8125" w:rsidR="002D086E" w:rsidRDefault="002D086E" w:rsidP="00CD4C7B">
      <w:r>
        <w:t>At the same time, the procedural text defining the UE capabilities has undergone several revisions, but is still quite complicated and long, taking several pages in the specification. Further, with the LTE-NR operation being specified, it is not inconceivable that the LTE capability operation may require some further changes in Rel-15.</w:t>
      </w:r>
    </w:p>
    <w:p w14:paraId="2AAA4C76" w14:textId="77777777" w:rsidR="00C80EA1" w:rsidRDefault="00C80EA1" w:rsidP="00C80EA1">
      <w:r>
        <w:t>As we have seen from LTE capabilities, there are a few principles we should do with UE capabilities:</w:t>
      </w:r>
    </w:p>
    <w:p w14:paraId="62441D49" w14:textId="77777777" w:rsidR="00C80EA1" w:rsidRPr="00F54BF3" w:rsidRDefault="00C80EA1" w:rsidP="00C80EA1">
      <w:pPr>
        <w:pStyle w:val="ListParagraph"/>
        <w:numPr>
          <w:ilvl w:val="0"/>
          <w:numId w:val="9"/>
        </w:numPr>
      </w:pPr>
      <w:r w:rsidRPr="00F54BF3">
        <w:t>Capability size should be minimized</w:t>
      </w:r>
      <w:r>
        <w:t xml:space="preserve"> but allow extendibility (preferably in a simple manner)</w:t>
      </w:r>
    </w:p>
    <w:p w14:paraId="6A24723A" w14:textId="77777777" w:rsidR="00C80EA1" w:rsidRPr="00F54BF3" w:rsidRDefault="00C80EA1" w:rsidP="00C80EA1">
      <w:pPr>
        <w:pStyle w:val="ListParagraph"/>
        <w:numPr>
          <w:ilvl w:val="0"/>
          <w:numId w:val="9"/>
        </w:numPr>
      </w:pPr>
      <w:r w:rsidRPr="00F54BF3">
        <w:t xml:space="preserve">Capability </w:t>
      </w:r>
      <w:r>
        <w:t xml:space="preserve">structure and procedural </w:t>
      </w:r>
      <w:r w:rsidRPr="00F54BF3">
        <w:t xml:space="preserve">handling should be </w:t>
      </w:r>
      <w:r>
        <w:t xml:space="preserve">as </w:t>
      </w:r>
      <w:r w:rsidRPr="00F54BF3">
        <w:t>simple</w:t>
      </w:r>
      <w:r>
        <w:t xml:space="preserve"> as possible</w:t>
      </w:r>
    </w:p>
    <w:p w14:paraId="133F0CD1" w14:textId="77777777" w:rsidR="00C80EA1" w:rsidRDefault="00C80EA1" w:rsidP="00C80EA1">
      <w:pPr>
        <w:pStyle w:val="ListParagraph"/>
        <w:numPr>
          <w:ilvl w:val="0"/>
          <w:numId w:val="9"/>
        </w:numPr>
      </w:pPr>
      <w:r w:rsidRPr="00F54BF3">
        <w:t>It should be possible to request only partial capabilities (e.g. only certain band combinations)</w:t>
      </w:r>
    </w:p>
    <w:p w14:paraId="54C330D2" w14:textId="43A83C19" w:rsidR="00C80EA1" w:rsidRPr="00732457" w:rsidRDefault="00C80EA1" w:rsidP="00CD4C7B">
      <w:pPr>
        <w:pStyle w:val="ListParagraph"/>
        <w:numPr>
          <w:ilvl w:val="0"/>
          <w:numId w:val="9"/>
        </w:numPr>
      </w:pPr>
      <w:r>
        <w:t>The signalling of CA/DC band combinations needs special attention in the design phase</w:t>
      </w:r>
    </w:p>
    <w:p w14:paraId="566DD317" w14:textId="77777777" w:rsidR="00A96C47" w:rsidRDefault="00A96C47" w:rsidP="00CD4C7B">
      <w:r w:rsidRPr="00A96C47">
        <w:rPr>
          <w:b/>
        </w:rPr>
        <w:t>Observation 1:</w:t>
      </w:r>
      <w:r w:rsidR="0030415B">
        <w:rPr>
          <w:b/>
        </w:rPr>
        <w:t xml:space="preserve"> </w:t>
      </w:r>
      <w:r w:rsidR="0030415B" w:rsidRPr="0030415B">
        <w:t>Historically,</w:t>
      </w:r>
      <w:r w:rsidR="0030415B">
        <w:rPr>
          <w:b/>
        </w:rPr>
        <w:t xml:space="preserve"> </w:t>
      </w:r>
      <w:r w:rsidR="0030415B">
        <w:t>UE capability handling has been changed a lot during LTE evolution</w:t>
      </w:r>
      <w:r>
        <w:t xml:space="preserve"> </w:t>
      </w:r>
    </w:p>
    <w:p w14:paraId="4E480ED8" w14:textId="77777777" w:rsidR="00A96C47" w:rsidRDefault="00A96C47" w:rsidP="00CD4C7B">
      <w:r w:rsidRPr="00A96C47">
        <w:rPr>
          <w:b/>
        </w:rPr>
        <w:t>Observation 2:</w:t>
      </w:r>
      <w:r>
        <w:t xml:space="preserve"> </w:t>
      </w:r>
      <w:r w:rsidR="0030415B">
        <w:t xml:space="preserve">UE capability handling </w:t>
      </w:r>
      <w:r w:rsidR="002D086E">
        <w:t>has been modified substantially from its original version, and takes up several pages in current specification.</w:t>
      </w:r>
    </w:p>
    <w:p w14:paraId="3D6E471D" w14:textId="77777777" w:rsidR="00A96C47" w:rsidRDefault="00A96C47" w:rsidP="00CD4C7B">
      <w:r w:rsidRPr="00A96C47">
        <w:rPr>
          <w:b/>
        </w:rPr>
        <w:t>Observation 3:</w:t>
      </w:r>
      <w:r>
        <w:t xml:space="preserve"> </w:t>
      </w:r>
      <w:r w:rsidR="0030415B">
        <w:t xml:space="preserve">The size of UE capabilities is going to grow with every single new release, possibly requiring different handling. </w:t>
      </w:r>
    </w:p>
    <w:p w14:paraId="4AAB0AC9" w14:textId="6F9F2CD7" w:rsidR="00A96C47" w:rsidRDefault="002D086E" w:rsidP="00CD4C7B">
      <w:r w:rsidRPr="002D086E">
        <w:rPr>
          <w:b/>
        </w:rPr>
        <w:t>Observation 4:</w:t>
      </w:r>
      <w:r>
        <w:t xml:space="preserve"> Minimizing the size of the CA band combination capabilities have been a recurring subject in LTE.</w:t>
      </w:r>
    </w:p>
    <w:p w14:paraId="7AEF8EB4" w14:textId="44BB0153" w:rsidR="007F2F67" w:rsidRDefault="007F2F67" w:rsidP="00CD4C7B"/>
    <w:p w14:paraId="1EC9A666" w14:textId="77777777" w:rsidR="00CD4C7B" w:rsidRPr="006E13D1" w:rsidRDefault="00CD4C7B" w:rsidP="00CD4C7B">
      <w:pPr>
        <w:pStyle w:val="Heading1"/>
      </w:pPr>
      <w:r w:rsidRPr="006E13D1">
        <w:lastRenderedPageBreak/>
        <w:t>3</w:t>
      </w:r>
      <w:r w:rsidRPr="006E13D1">
        <w:tab/>
      </w:r>
      <w:r w:rsidR="0030415B">
        <w:t>UE capability handling in NR</w:t>
      </w:r>
      <w:r w:rsidRPr="006E13D1">
        <w:t xml:space="preserve"> </w:t>
      </w:r>
    </w:p>
    <w:p w14:paraId="18385452" w14:textId="254D5F2D" w:rsidR="00C80EA1" w:rsidRPr="006E13D1" w:rsidRDefault="00C80EA1" w:rsidP="00C80EA1">
      <w:pPr>
        <w:pStyle w:val="Heading2"/>
      </w:pPr>
      <w:r w:rsidRPr="006E13D1">
        <w:t>3.1</w:t>
      </w:r>
      <w:r w:rsidRPr="006E13D1">
        <w:tab/>
      </w:r>
      <w:r w:rsidR="007F2F67">
        <w:t>Where to put capability handling</w:t>
      </w:r>
      <w:r w:rsidRPr="006E13D1">
        <w:t xml:space="preserve"> </w:t>
      </w:r>
    </w:p>
    <w:p w14:paraId="390167AE" w14:textId="6F0609B7" w:rsidR="00E4025E" w:rsidRDefault="00234423" w:rsidP="00C80EA1">
      <w:r>
        <w:t>In LTE RRC</w:t>
      </w:r>
      <w:r w:rsidR="002D086E">
        <w:t xml:space="preserve">, the UE capability handling is </w:t>
      </w:r>
      <w:r>
        <w:t>listed as</w:t>
      </w:r>
      <w:r w:rsidR="002D086E">
        <w:t xml:space="preserve"> part of section 5.6</w:t>
      </w:r>
      <w:r>
        <w:t xml:space="preserve"> (Other), and the IEs are defined in sub-section 6.3.6 (Other information elements). </w:t>
      </w:r>
      <w:r w:rsidR="00E4025E">
        <w:t>To make them easier to find, both could be moved to dedicated sections. Given that RAN2 also agreed during RAN2#97 to consider UE capability limitations under exceptional circumstances as shown below, this would also make it easier to capture any such details:</w:t>
      </w:r>
    </w:p>
    <w:p w14:paraId="05F342C6"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r>
        <w:t>Agreements:</w:t>
      </w:r>
    </w:p>
    <w:p w14:paraId="6055611F"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r>
        <w:t>1: following issues should be considered in NR design (e.g. capabilities) with general solution:</w:t>
      </w:r>
    </w:p>
    <w:p w14:paraId="467BCF22"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r>
        <w:t></w:t>
      </w:r>
      <w:r>
        <w:tab/>
        <w:t xml:space="preserve">Issue 1: Hardware sharing between NR and </w:t>
      </w:r>
      <w:r w:rsidRPr="002A6E05">
        <w:t xml:space="preserve">other </w:t>
      </w:r>
      <w:r>
        <w:t>things</w:t>
      </w:r>
      <w:r w:rsidRPr="002A6E05">
        <w:t>, e.g. WLAN, BT, GPS, etc</w:t>
      </w:r>
      <w:r>
        <w:t xml:space="preserve"> </w:t>
      </w:r>
    </w:p>
    <w:p w14:paraId="16C62245"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r>
        <w:t></w:t>
      </w:r>
      <w:r>
        <w:tab/>
        <w:t xml:space="preserve">Issue 2: Interference between NR and other things, e.g. WLAN, BT, GPS, etc; </w:t>
      </w:r>
    </w:p>
    <w:p w14:paraId="4A1D7F84"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r>
        <w:t></w:t>
      </w:r>
      <w:r>
        <w:tab/>
        <w:t>Issue 3: Exceptional UE issues (e.g. overheating problems)</w:t>
      </w:r>
    </w:p>
    <w:p w14:paraId="68B1CB9C"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p>
    <w:p w14:paraId="07DD05A7"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r>
        <w:t xml:space="preserve">2: The UE radio access capabilities are static and the change is just to temporarily (e.g. under network control) limit the availability of some capabilities, e.g. due to hardware sharing, interference or overheating. </w:t>
      </w:r>
    </w:p>
    <w:p w14:paraId="452E9350"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r>
        <w:t>FFS To which capabilities it may apply and how the limitation is expressed to the gNB.</w:t>
      </w:r>
    </w:p>
    <w:p w14:paraId="26D62E05"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p>
    <w:p w14:paraId="01B03403"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r>
        <w:t xml:space="preserve">3: The </w:t>
      </w:r>
      <w:r w:rsidRPr="00065012">
        <w:t>temporary capability restrict</w:t>
      </w:r>
      <w:r>
        <w:t xml:space="preserve"> should be transparent to the NG core, i.e. only static capability is stored in the NG core.</w:t>
      </w:r>
    </w:p>
    <w:p w14:paraId="5FC8016C"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p>
    <w:p w14:paraId="16EB7E21" w14:textId="77777777" w:rsidR="00E4025E" w:rsidRDefault="00E4025E" w:rsidP="00E4025E">
      <w:pPr>
        <w:pStyle w:val="Doc-text2"/>
        <w:pBdr>
          <w:top w:val="single" w:sz="4" w:space="1" w:color="auto"/>
          <w:left w:val="single" w:sz="4" w:space="4" w:color="auto"/>
          <w:bottom w:val="single" w:sz="4" w:space="1" w:color="auto"/>
          <w:right w:val="single" w:sz="4" w:space="4" w:color="auto"/>
        </w:pBdr>
      </w:pPr>
      <w:r>
        <w:t>4: The UE signals the temporary capability restriction request to the gNB.</w:t>
      </w:r>
    </w:p>
    <w:p w14:paraId="63528610" w14:textId="77777777" w:rsidR="00E4025E" w:rsidRDefault="00E4025E" w:rsidP="007951F3"/>
    <w:p w14:paraId="6FEDF7FD" w14:textId="33EC4C7E" w:rsidR="00BC73C9" w:rsidRDefault="00BC73C9" w:rsidP="00BC73C9">
      <w:r w:rsidRPr="00B17038">
        <w:rPr>
          <w:b/>
        </w:rPr>
        <w:t>Proposal 1:</w:t>
      </w:r>
      <w:r>
        <w:t xml:space="preserve"> </w:t>
      </w:r>
      <w:r w:rsidR="00234423">
        <w:t>Define procedural text for NR UE capabilities in a dedicated section (</w:t>
      </w:r>
      <w:r w:rsidR="007F2F67">
        <w:t>i.e. “</w:t>
      </w:r>
      <w:r w:rsidR="007F2F67" w:rsidRPr="007F2F67">
        <w:t>UE capability transfer</w:t>
      </w:r>
      <w:r w:rsidR="007F2F67">
        <w:t>”</w:t>
      </w:r>
      <w:r w:rsidR="00234423">
        <w:t xml:space="preserve">) </w:t>
      </w:r>
      <w:r w:rsidR="007F2F67">
        <w:t>separate from “Other” - section</w:t>
      </w:r>
      <w:r w:rsidR="00234423">
        <w:t>.</w:t>
      </w:r>
    </w:p>
    <w:p w14:paraId="174F9F7F" w14:textId="5BEB8BCC" w:rsidR="00234423" w:rsidRDefault="00234423" w:rsidP="00BC73C9">
      <w:r w:rsidRPr="00234423">
        <w:rPr>
          <w:b/>
        </w:rPr>
        <w:t>Proposal 2:</w:t>
      </w:r>
      <w:r>
        <w:t xml:space="preserve"> Define ASN.1 elements for UE capabilities in a dedicated section (</w:t>
      </w:r>
      <w:r w:rsidR="007F2F67">
        <w:t>i.e. “</w:t>
      </w:r>
      <w:r w:rsidR="007F2F67" w:rsidRPr="007F2F67">
        <w:t>UE capability information elements</w:t>
      </w:r>
      <w:r w:rsidR="007F2F67">
        <w:t>”</w:t>
      </w:r>
      <w:r>
        <w:t xml:space="preserve">) </w:t>
      </w:r>
      <w:r w:rsidR="007F2F67">
        <w:t>separate from “Other Information elements” - section</w:t>
      </w:r>
      <w:r>
        <w:t>.</w:t>
      </w:r>
    </w:p>
    <w:p w14:paraId="1FE79D2D" w14:textId="3A65BD75" w:rsidR="007F2F67" w:rsidRDefault="007F2F67" w:rsidP="00BC73C9">
      <w:r>
        <w:t xml:space="preserve">These proposals also raise the topic </w:t>
      </w:r>
      <w:r w:rsidR="000C2902">
        <w:t xml:space="preserve">of where to put the UE capability handling: Usually CRs are needed for both TS36.331 and TS36.306 when defining capabilities, and there is a lot of duplication between the two specification. The natural question to ask would be why couldn’t </w:t>
      </w:r>
      <w:r w:rsidR="000C2902">
        <w:rPr>
          <w:b/>
        </w:rPr>
        <w:t>all</w:t>
      </w:r>
      <w:r w:rsidR="000C2902">
        <w:t xml:space="preserve"> UE capability information be contained within one specification? At a glance, that could have a lot of benefits, but we see also some drawbacks as shown in Table 1 below.</w:t>
      </w:r>
    </w:p>
    <w:tbl>
      <w:tblPr>
        <w:tblStyle w:val="TableGrid"/>
        <w:tblW w:w="0" w:type="auto"/>
        <w:tblLook w:val="04A0" w:firstRow="1" w:lastRow="0" w:firstColumn="1" w:lastColumn="0" w:noHBand="0" w:noVBand="1"/>
      </w:tblPr>
      <w:tblGrid>
        <w:gridCol w:w="2689"/>
        <w:gridCol w:w="3260"/>
        <w:gridCol w:w="3682"/>
      </w:tblGrid>
      <w:tr w:rsidR="000C2902" w14:paraId="2C0D2CC1" w14:textId="77777777" w:rsidTr="000C2902">
        <w:tc>
          <w:tcPr>
            <w:tcW w:w="2689" w:type="dxa"/>
          </w:tcPr>
          <w:p w14:paraId="5FAE952E" w14:textId="23B1BFD1" w:rsidR="000C2902" w:rsidRDefault="000C2902" w:rsidP="00BC73C9">
            <w:r>
              <w:t>UE capability handling in</w:t>
            </w:r>
          </w:p>
        </w:tc>
        <w:tc>
          <w:tcPr>
            <w:tcW w:w="3260" w:type="dxa"/>
          </w:tcPr>
          <w:p w14:paraId="479DDD60" w14:textId="3CAA175C" w:rsidR="000C2902" w:rsidRDefault="000C2902" w:rsidP="00BC73C9">
            <w:r>
              <w:t>Benefits</w:t>
            </w:r>
          </w:p>
        </w:tc>
        <w:tc>
          <w:tcPr>
            <w:tcW w:w="3682" w:type="dxa"/>
          </w:tcPr>
          <w:p w14:paraId="0E4299A6" w14:textId="157A3662" w:rsidR="000C2902" w:rsidRDefault="000C2902" w:rsidP="00BC73C9">
            <w:r>
              <w:t>Disadvantages</w:t>
            </w:r>
          </w:p>
        </w:tc>
      </w:tr>
      <w:tr w:rsidR="000C2902" w14:paraId="7EC7A888" w14:textId="77777777" w:rsidTr="000C2902">
        <w:tc>
          <w:tcPr>
            <w:tcW w:w="2689" w:type="dxa"/>
          </w:tcPr>
          <w:p w14:paraId="107AAB7A" w14:textId="120FA826" w:rsidR="000C2902" w:rsidRDefault="000C2902" w:rsidP="00BC73C9">
            <w:r>
              <w:t>TS36.331 (RRC specification)</w:t>
            </w:r>
          </w:p>
        </w:tc>
        <w:tc>
          <w:tcPr>
            <w:tcW w:w="3260" w:type="dxa"/>
          </w:tcPr>
          <w:p w14:paraId="7808E51E" w14:textId="4A6FAF91" w:rsidR="000C2902" w:rsidRDefault="000C2902" w:rsidP="00BC73C9">
            <w:r>
              <w:t>+ All ASN.1 and procedural descriptions are in one place</w:t>
            </w:r>
          </w:p>
          <w:p w14:paraId="4D11261C" w14:textId="1E77855F" w:rsidR="000C2902" w:rsidRDefault="000C2902" w:rsidP="00BC73C9">
            <w:r>
              <w:t>+ Can be modified based on RRC message content modifications</w:t>
            </w:r>
          </w:p>
        </w:tc>
        <w:tc>
          <w:tcPr>
            <w:tcW w:w="3682" w:type="dxa"/>
          </w:tcPr>
          <w:p w14:paraId="6AD3CEBE" w14:textId="7113610E" w:rsidR="000C2902" w:rsidRDefault="000C2902" w:rsidP="00BC73C9">
            <w:r>
              <w:t xml:space="preserve">- </w:t>
            </w:r>
            <w:r w:rsidR="0017121B">
              <w:t>Lot of r</w:t>
            </w:r>
            <w:r>
              <w:t>epetition between 331 and 306</w:t>
            </w:r>
          </w:p>
          <w:p w14:paraId="25EFE241" w14:textId="38A9EB4A" w:rsidR="000C2902" w:rsidRDefault="000C2902" w:rsidP="00BC73C9">
            <w:r>
              <w:t xml:space="preserve">- </w:t>
            </w:r>
            <w:r w:rsidR="0017121B">
              <w:t>Easy to make errors when submitting CRs related to capability (mismatch in descriptions, missing one part, etc.)</w:t>
            </w:r>
          </w:p>
        </w:tc>
      </w:tr>
      <w:tr w:rsidR="000C2902" w14:paraId="1BC42762" w14:textId="77777777" w:rsidTr="000C2902">
        <w:tc>
          <w:tcPr>
            <w:tcW w:w="2689" w:type="dxa"/>
          </w:tcPr>
          <w:p w14:paraId="4C997034" w14:textId="1F8FD910" w:rsidR="000C2902" w:rsidRDefault="000C2902" w:rsidP="00BC73C9">
            <w:r>
              <w:t>TS36.306 (UE capability specification)</w:t>
            </w:r>
          </w:p>
        </w:tc>
        <w:tc>
          <w:tcPr>
            <w:tcW w:w="3260" w:type="dxa"/>
          </w:tcPr>
          <w:p w14:paraId="0A190745" w14:textId="6063FAD8" w:rsidR="000C2902" w:rsidRDefault="000C2902" w:rsidP="00BC73C9">
            <w:r>
              <w:t>+ All UE capability handling in one place</w:t>
            </w:r>
            <w:r w:rsidR="0017121B">
              <w:t xml:space="preserve"> – easier CR handling</w:t>
            </w:r>
          </w:p>
          <w:p w14:paraId="4477887C" w14:textId="77777777" w:rsidR="000C2902" w:rsidRDefault="000C2902" w:rsidP="00BC73C9">
            <w:r>
              <w:t>+ No repetition of capability handling across 331 and 306</w:t>
            </w:r>
          </w:p>
          <w:p w14:paraId="35724C0A" w14:textId="151BFCBD" w:rsidR="0017121B" w:rsidRDefault="0017121B" w:rsidP="00BC73C9"/>
        </w:tc>
        <w:tc>
          <w:tcPr>
            <w:tcW w:w="3682" w:type="dxa"/>
          </w:tcPr>
          <w:p w14:paraId="4A46570D" w14:textId="6F9A7941" w:rsidR="000C2902" w:rsidRDefault="000C2902" w:rsidP="00BC73C9">
            <w:r>
              <w:t>- Content of NR ASN.1 spread to two specifications, requiring freezing and review of both</w:t>
            </w:r>
          </w:p>
          <w:p w14:paraId="7CDBEA9B" w14:textId="631D83AD" w:rsidR="000C2902" w:rsidRDefault="000C2902" w:rsidP="00BC73C9">
            <w:r>
              <w:t>- RRC message has to refer to another specification (much like with inter-RAT capabilities)</w:t>
            </w:r>
          </w:p>
        </w:tc>
      </w:tr>
    </w:tbl>
    <w:p w14:paraId="28E7734E" w14:textId="77777777" w:rsidR="000C2902" w:rsidRDefault="000C2902" w:rsidP="00BC73C9"/>
    <w:p w14:paraId="73238969" w14:textId="30ECFA9E" w:rsidR="000C2902" w:rsidRDefault="0017121B" w:rsidP="00BC73C9">
      <w:r>
        <w:t xml:space="preserve">Based on this, it’s not clear whether the benefits outweigh the disadvantages. </w:t>
      </w:r>
      <w:r w:rsidR="000C2902">
        <w:t>Still, we think RAN2 should discuss this and make a decision</w:t>
      </w:r>
      <w:r>
        <w:t xml:space="preserve"> on the matter</w:t>
      </w:r>
      <w:r w:rsidR="000C2902">
        <w:t>, especially since it would affect the TS36.306 skeleton a lot.</w:t>
      </w:r>
    </w:p>
    <w:p w14:paraId="4E246E34" w14:textId="76478EBB" w:rsidR="006C3583" w:rsidRDefault="006C3583" w:rsidP="006C3583">
      <w:r w:rsidRPr="00234423">
        <w:rPr>
          <w:b/>
        </w:rPr>
        <w:t xml:space="preserve">Proposal </w:t>
      </w:r>
      <w:r>
        <w:rPr>
          <w:b/>
        </w:rPr>
        <w:t>3</w:t>
      </w:r>
      <w:r w:rsidRPr="00234423">
        <w:rPr>
          <w:b/>
        </w:rPr>
        <w:t>:</w:t>
      </w:r>
      <w:r>
        <w:t xml:space="preserve"> Discuss whether the UE capability </w:t>
      </w:r>
      <w:r w:rsidR="00F54BF3">
        <w:t xml:space="preserve">ASN.1 and procedural text </w:t>
      </w:r>
      <w:r>
        <w:t>could be moved to TS36.306</w:t>
      </w:r>
    </w:p>
    <w:p w14:paraId="6141EDB1" w14:textId="078E0F33" w:rsidR="00F54BF3" w:rsidRDefault="00F54BF3" w:rsidP="00F54BF3">
      <w:pPr>
        <w:rPr>
          <w:lang w:val="en-US"/>
        </w:rPr>
      </w:pPr>
    </w:p>
    <w:p w14:paraId="6FE9BEA3" w14:textId="05E138A3" w:rsidR="000C2902" w:rsidRPr="000C2902" w:rsidRDefault="000C2902" w:rsidP="000C2902">
      <w:pPr>
        <w:pStyle w:val="Heading2"/>
      </w:pPr>
      <w:r w:rsidRPr="006E13D1">
        <w:lastRenderedPageBreak/>
        <w:t>3.</w:t>
      </w:r>
      <w:r>
        <w:t>2</w:t>
      </w:r>
      <w:r w:rsidRPr="006E13D1">
        <w:tab/>
      </w:r>
      <w:r>
        <w:t>Extension of UE capability IEs</w:t>
      </w:r>
      <w:r w:rsidRPr="006E13D1">
        <w:t xml:space="preserve"> </w:t>
      </w:r>
    </w:p>
    <w:p w14:paraId="78BCB21B" w14:textId="6691DE54" w:rsidR="0017121B" w:rsidRDefault="000C2902" w:rsidP="000C2902">
      <w:r>
        <w:t>Given that the discussion in NR RRC also has considered to mainly use the regular extension marker, it seems logical to consider whether the approach also works for NR capabilities.</w:t>
      </w:r>
      <w:r>
        <w:t xml:space="preserve"> However, given observation 4, the UE capabilities could be an exception to the rule: They will be extended regularly, so each extension would cause 1 octet extra size, which would start to accrue over the releases. For example, </w:t>
      </w:r>
      <w:r w:rsidR="0017121B">
        <w:t xml:space="preserve">LTE capabilities have been extended via non-critical extensions currently 36 times, which would have incurred 36 bytes overhead. While this may not seem to be much, given the maximum message size of 8188 bytes, it does contribute to the increase in message size, especially when single capabilities that take up </w:t>
      </w:r>
      <w:r w:rsidR="0017121B" w:rsidRPr="0017121B">
        <w:rPr>
          <w:b/>
        </w:rPr>
        <w:t>1-2 bits</w:t>
      </w:r>
      <w:r w:rsidR="0017121B">
        <w:t xml:space="preserve"> are introduced, for which the 1 bytes is a lot of overhead.  It’s also not clear whether using the extension marker is inherently “cleaner” approach, as the example of how the specification could evolve shows.</w:t>
      </w:r>
    </w:p>
    <w:p w14:paraId="65BF5A95" w14:textId="6FFA0731" w:rsidR="006C3583" w:rsidRPr="0017121B" w:rsidRDefault="000C2902" w:rsidP="00BC73C9">
      <w:r w:rsidRPr="000C2902">
        <w:rPr>
          <w:b/>
        </w:rPr>
        <w:t xml:space="preserve">Proposal </w:t>
      </w:r>
      <w:r w:rsidR="0017121B">
        <w:rPr>
          <w:b/>
        </w:rPr>
        <w:t>4</w:t>
      </w:r>
      <w:r w:rsidRPr="000C2902">
        <w:rPr>
          <w:b/>
        </w:rPr>
        <w:t>:</w:t>
      </w:r>
      <w:r>
        <w:t xml:space="preserve"> </w:t>
      </w:r>
      <w:r w:rsidR="0017121B">
        <w:t xml:space="preserve">Discuss whether </w:t>
      </w:r>
      <w:r>
        <w:t>UE capability IEs could allow using also the “empty SEQUENCE” non-critical extensions.</w:t>
      </w:r>
    </w:p>
    <w:p w14:paraId="64A684E8" w14:textId="77777777" w:rsidR="00CD4C7B" w:rsidRPr="006E13D1" w:rsidRDefault="00CD4C7B" w:rsidP="00CD4C7B">
      <w:pPr>
        <w:pStyle w:val="Heading1"/>
      </w:pPr>
      <w:r w:rsidRPr="006E13D1">
        <w:t>4</w:t>
      </w:r>
      <w:r w:rsidRPr="006E13D1">
        <w:tab/>
      </w:r>
      <w:r w:rsidR="005202CA">
        <w:t>Conclusions</w:t>
      </w:r>
      <w:r w:rsidRPr="006E13D1">
        <w:t xml:space="preserve"> </w:t>
      </w:r>
    </w:p>
    <w:p w14:paraId="634593D7" w14:textId="77777777" w:rsidR="00064582" w:rsidRDefault="00A96C47" w:rsidP="00CD4C7B">
      <w:r>
        <w:t xml:space="preserve">We have discussed the </w:t>
      </w:r>
      <w:r w:rsidR="00064582">
        <w:t>typical error cases with LTE need codes and observed the following:</w:t>
      </w:r>
    </w:p>
    <w:p w14:paraId="65D43519" w14:textId="77777777" w:rsidR="003A692B" w:rsidRDefault="003A692B" w:rsidP="003A692B">
      <w:r w:rsidRPr="00A96C47">
        <w:rPr>
          <w:b/>
        </w:rPr>
        <w:t>Observation 1:</w:t>
      </w:r>
      <w:r>
        <w:rPr>
          <w:b/>
        </w:rPr>
        <w:t xml:space="preserve"> </w:t>
      </w:r>
      <w:r w:rsidRPr="0030415B">
        <w:t>Historically,</w:t>
      </w:r>
      <w:r>
        <w:rPr>
          <w:b/>
        </w:rPr>
        <w:t xml:space="preserve"> </w:t>
      </w:r>
      <w:r>
        <w:t xml:space="preserve">UE capability handling has been changed a lot during LTE evolution </w:t>
      </w:r>
    </w:p>
    <w:p w14:paraId="1905E95C" w14:textId="77777777" w:rsidR="003A692B" w:rsidRDefault="003A692B" w:rsidP="003A692B">
      <w:r w:rsidRPr="00A96C47">
        <w:rPr>
          <w:b/>
        </w:rPr>
        <w:t>Observation 2:</w:t>
      </w:r>
      <w:r>
        <w:t xml:space="preserve"> UE capability handling has been modified substantially from its original version, and takes up several pages in current specification.</w:t>
      </w:r>
    </w:p>
    <w:p w14:paraId="12D629C5" w14:textId="77777777" w:rsidR="003A692B" w:rsidRDefault="003A692B" w:rsidP="003A692B">
      <w:r w:rsidRPr="00A96C47">
        <w:rPr>
          <w:b/>
        </w:rPr>
        <w:t>Observation 3:</w:t>
      </w:r>
      <w:r>
        <w:t xml:space="preserve"> The size of UE capabilities is going to grow with every single new release, possibly requiring different handling. </w:t>
      </w:r>
    </w:p>
    <w:p w14:paraId="0D55028E" w14:textId="30C3B01D" w:rsidR="000A1C1A" w:rsidRDefault="003A692B" w:rsidP="00064582">
      <w:r w:rsidRPr="002D086E">
        <w:rPr>
          <w:b/>
        </w:rPr>
        <w:t>Observation 4:</w:t>
      </w:r>
      <w:r>
        <w:t xml:space="preserve"> Minimizing the size of the CA band combination capabilities have been a recurring subject in LTE.</w:t>
      </w:r>
    </w:p>
    <w:p w14:paraId="0C64DC34" w14:textId="77777777" w:rsidR="003A692B" w:rsidRDefault="003A692B" w:rsidP="00064582"/>
    <w:p w14:paraId="114FC0E7" w14:textId="5E4807EC" w:rsidR="00064582" w:rsidRDefault="00064582" w:rsidP="00064582">
      <w:r>
        <w:t>Based on these, we have discussed the minimal set of need codes for NR RRC and proposed the following:</w:t>
      </w:r>
    </w:p>
    <w:p w14:paraId="2F10D24A" w14:textId="77777777" w:rsidR="003A692B" w:rsidRDefault="003A692B" w:rsidP="003A692B">
      <w:r w:rsidRPr="00B17038">
        <w:rPr>
          <w:b/>
        </w:rPr>
        <w:t>Proposal 1:</w:t>
      </w:r>
      <w:r>
        <w:t xml:space="preserve"> Define procedural text for NR UE capabilities in a dedicated section (i.e. “</w:t>
      </w:r>
      <w:r w:rsidRPr="007F2F67">
        <w:t>UE capability transfer</w:t>
      </w:r>
      <w:r>
        <w:t>”) separate from “Other” - section.</w:t>
      </w:r>
    </w:p>
    <w:p w14:paraId="33602EE3" w14:textId="77777777" w:rsidR="003A692B" w:rsidRDefault="003A692B" w:rsidP="003A692B">
      <w:r w:rsidRPr="00234423">
        <w:rPr>
          <w:b/>
        </w:rPr>
        <w:t>Proposal 2:</w:t>
      </w:r>
      <w:r>
        <w:t xml:space="preserve"> Define ASN.1 elements for UE capabilities in a dedicated section (i.e. “</w:t>
      </w:r>
      <w:r w:rsidRPr="007F2F67">
        <w:t>UE capability information elements</w:t>
      </w:r>
      <w:r>
        <w:t>”) separate from “Other Information elements” - section.</w:t>
      </w:r>
    </w:p>
    <w:p w14:paraId="00246B7D" w14:textId="0BF37FB4" w:rsidR="003A692B" w:rsidRDefault="003A692B" w:rsidP="003A692B">
      <w:r w:rsidRPr="00234423">
        <w:rPr>
          <w:b/>
        </w:rPr>
        <w:t xml:space="preserve"> </w:t>
      </w:r>
      <w:r w:rsidRPr="00234423">
        <w:rPr>
          <w:b/>
        </w:rPr>
        <w:t xml:space="preserve">Proposal </w:t>
      </w:r>
      <w:r>
        <w:rPr>
          <w:b/>
        </w:rPr>
        <w:t>3</w:t>
      </w:r>
      <w:r w:rsidRPr="00234423">
        <w:rPr>
          <w:b/>
        </w:rPr>
        <w:t>:</w:t>
      </w:r>
      <w:r>
        <w:t xml:space="preserve"> Discuss whether the UE capability ASN.1 and procedural text could be moved to TS36.306</w:t>
      </w:r>
    </w:p>
    <w:p w14:paraId="103C5887" w14:textId="77777777" w:rsidR="003A692B" w:rsidRPr="0017121B" w:rsidRDefault="003A692B" w:rsidP="003A692B">
      <w:r w:rsidRPr="000C2902">
        <w:rPr>
          <w:b/>
        </w:rPr>
        <w:t xml:space="preserve">Proposal </w:t>
      </w:r>
      <w:r>
        <w:rPr>
          <w:b/>
        </w:rPr>
        <w:t>4</w:t>
      </w:r>
      <w:r w:rsidRPr="000C2902">
        <w:rPr>
          <w:b/>
        </w:rPr>
        <w:t>:</w:t>
      </w:r>
      <w:r>
        <w:t xml:space="preserve"> Discuss whether UE capability IEs could allow using also the “empty SEQUENCE” non-critical extensions.</w:t>
      </w:r>
    </w:p>
    <w:p w14:paraId="7779C4F2" w14:textId="77777777" w:rsidR="00A96C47" w:rsidRDefault="00A96C47" w:rsidP="00CD4C7B">
      <w:bookmarkStart w:id="1" w:name="_GoBack"/>
      <w:bookmarkEnd w:id="1"/>
    </w:p>
    <w:sectPr w:rsidR="00A96C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CB866" w14:textId="77777777" w:rsidR="00D63F1D" w:rsidRDefault="00D63F1D">
      <w:r>
        <w:separator/>
      </w:r>
    </w:p>
  </w:endnote>
  <w:endnote w:type="continuationSeparator" w:id="0">
    <w:p w14:paraId="106AFCB2" w14:textId="77777777" w:rsidR="00D63F1D" w:rsidRDefault="00D6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0768B" w14:textId="77777777" w:rsidR="00D63F1D" w:rsidRDefault="00D63F1D">
      <w:r>
        <w:separator/>
      </w:r>
    </w:p>
  </w:footnote>
  <w:footnote w:type="continuationSeparator" w:id="0">
    <w:p w14:paraId="78B0AD13" w14:textId="77777777" w:rsidR="00D63F1D" w:rsidRDefault="00D63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33DE"/>
    <w:multiLevelType w:val="hybridMultilevel"/>
    <w:tmpl w:val="64E64A96"/>
    <w:lvl w:ilvl="0" w:tplc="C5B069B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2E903FE"/>
    <w:multiLevelType w:val="hybridMultilevel"/>
    <w:tmpl w:val="A1D25BF6"/>
    <w:lvl w:ilvl="0" w:tplc="4170D77E">
      <w:start w:val="1"/>
      <w:numFmt w:val="bullet"/>
      <w:lvlText w:val=""/>
      <w:lvlJc w:val="left"/>
      <w:pPr>
        <w:tabs>
          <w:tab w:val="num" w:pos="720"/>
        </w:tabs>
        <w:ind w:left="720" w:hanging="360"/>
      </w:pPr>
      <w:rPr>
        <w:rFonts w:ascii="Nokia Pure Text Light" w:hAnsi="Nokia Pure Text Light" w:hint="default"/>
      </w:rPr>
    </w:lvl>
    <w:lvl w:ilvl="1" w:tplc="79C8771C">
      <w:start w:val="1"/>
      <w:numFmt w:val="bullet"/>
      <w:lvlText w:val=""/>
      <w:lvlJc w:val="left"/>
      <w:pPr>
        <w:tabs>
          <w:tab w:val="num" w:pos="1440"/>
        </w:tabs>
        <w:ind w:left="1440" w:hanging="360"/>
      </w:pPr>
      <w:rPr>
        <w:rFonts w:ascii="Nokia Pure Text Light" w:hAnsi="Nokia Pure Text Light" w:hint="default"/>
      </w:rPr>
    </w:lvl>
    <w:lvl w:ilvl="2" w:tplc="E4D42E8E" w:tentative="1">
      <w:start w:val="1"/>
      <w:numFmt w:val="bullet"/>
      <w:lvlText w:val=""/>
      <w:lvlJc w:val="left"/>
      <w:pPr>
        <w:tabs>
          <w:tab w:val="num" w:pos="2160"/>
        </w:tabs>
        <w:ind w:left="2160" w:hanging="360"/>
      </w:pPr>
      <w:rPr>
        <w:rFonts w:ascii="Nokia Pure Text Light" w:hAnsi="Nokia Pure Text Light" w:hint="default"/>
      </w:rPr>
    </w:lvl>
    <w:lvl w:ilvl="3" w:tplc="817E2338" w:tentative="1">
      <w:start w:val="1"/>
      <w:numFmt w:val="bullet"/>
      <w:lvlText w:val=""/>
      <w:lvlJc w:val="left"/>
      <w:pPr>
        <w:tabs>
          <w:tab w:val="num" w:pos="2880"/>
        </w:tabs>
        <w:ind w:left="2880" w:hanging="360"/>
      </w:pPr>
      <w:rPr>
        <w:rFonts w:ascii="Nokia Pure Text Light" w:hAnsi="Nokia Pure Text Light" w:hint="default"/>
      </w:rPr>
    </w:lvl>
    <w:lvl w:ilvl="4" w:tplc="6ED2EF04" w:tentative="1">
      <w:start w:val="1"/>
      <w:numFmt w:val="bullet"/>
      <w:lvlText w:val=""/>
      <w:lvlJc w:val="left"/>
      <w:pPr>
        <w:tabs>
          <w:tab w:val="num" w:pos="3600"/>
        </w:tabs>
        <w:ind w:left="3600" w:hanging="360"/>
      </w:pPr>
      <w:rPr>
        <w:rFonts w:ascii="Nokia Pure Text Light" w:hAnsi="Nokia Pure Text Light" w:hint="default"/>
      </w:rPr>
    </w:lvl>
    <w:lvl w:ilvl="5" w:tplc="EACAFC7C" w:tentative="1">
      <w:start w:val="1"/>
      <w:numFmt w:val="bullet"/>
      <w:lvlText w:val=""/>
      <w:lvlJc w:val="left"/>
      <w:pPr>
        <w:tabs>
          <w:tab w:val="num" w:pos="4320"/>
        </w:tabs>
        <w:ind w:left="4320" w:hanging="360"/>
      </w:pPr>
      <w:rPr>
        <w:rFonts w:ascii="Nokia Pure Text Light" w:hAnsi="Nokia Pure Text Light" w:hint="default"/>
      </w:rPr>
    </w:lvl>
    <w:lvl w:ilvl="6" w:tplc="D9D414AA" w:tentative="1">
      <w:start w:val="1"/>
      <w:numFmt w:val="bullet"/>
      <w:lvlText w:val=""/>
      <w:lvlJc w:val="left"/>
      <w:pPr>
        <w:tabs>
          <w:tab w:val="num" w:pos="5040"/>
        </w:tabs>
        <w:ind w:left="5040" w:hanging="360"/>
      </w:pPr>
      <w:rPr>
        <w:rFonts w:ascii="Nokia Pure Text Light" w:hAnsi="Nokia Pure Text Light" w:hint="default"/>
      </w:rPr>
    </w:lvl>
    <w:lvl w:ilvl="7" w:tplc="34E0C002" w:tentative="1">
      <w:start w:val="1"/>
      <w:numFmt w:val="bullet"/>
      <w:lvlText w:val=""/>
      <w:lvlJc w:val="left"/>
      <w:pPr>
        <w:tabs>
          <w:tab w:val="num" w:pos="5760"/>
        </w:tabs>
        <w:ind w:left="5760" w:hanging="360"/>
      </w:pPr>
      <w:rPr>
        <w:rFonts w:ascii="Nokia Pure Text Light" w:hAnsi="Nokia Pure Text Light" w:hint="default"/>
      </w:rPr>
    </w:lvl>
    <w:lvl w:ilvl="8" w:tplc="893EA49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 w15:restartNumberingAfterBreak="0">
    <w:nsid w:val="2E2D363E"/>
    <w:multiLevelType w:val="hybridMultilevel"/>
    <w:tmpl w:val="7390B7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F5007E2"/>
    <w:multiLevelType w:val="hybridMultilevel"/>
    <w:tmpl w:val="3A44C020"/>
    <w:lvl w:ilvl="0" w:tplc="C5B069B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5256D3D"/>
    <w:multiLevelType w:val="hybridMultilevel"/>
    <w:tmpl w:val="2B70CD26"/>
    <w:lvl w:ilvl="0" w:tplc="EC12EBE4">
      <w:numFmt w:val="bullet"/>
      <w:lvlText w:val="-"/>
      <w:lvlJc w:val="left"/>
      <w:pPr>
        <w:ind w:left="720" w:hanging="360"/>
      </w:pPr>
      <w:rPr>
        <w:rFonts w:ascii="Times New Roman" w:eastAsia="Times New Roman" w:hAnsi="Times New Roman" w:cs="Times New Roman" w:hint="default"/>
        <w:b w:val="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325"/>
    <w:rsid w:val="00033397"/>
    <w:rsid w:val="00040095"/>
    <w:rsid w:val="00064582"/>
    <w:rsid w:val="00080512"/>
    <w:rsid w:val="00090468"/>
    <w:rsid w:val="000A1C1A"/>
    <w:rsid w:val="000B7BCF"/>
    <w:rsid w:val="000C2902"/>
    <w:rsid w:val="000C522B"/>
    <w:rsid w:val="000D58AB"/>
    <w:rsid w:val="00145075"/>
    <w:rsid w:val="0017121B"/>
    <w:rsid w:val="001741A0"/>
    <w:rsid w:val="00194CD0"/>
    <w:rsid w:val="001B49C9"/>
    <w:rsid w:val="001F168B"/>
    <w:rsid w:val="001F7831"/>
    <w:rsid w:val="00204045"/>
    <w:rsid w:val="00210F9B"/>
    <w:rsid w:val="0022606D"/>
    <w:rsid w:val="00234423"/>
    <w:rsid w:val="002747EC"/>
    <w:rsid w:val="002855BF"/>
    <w:rsid w:val="002D086E"/>
    <w:rsid w:val="002F0D22"/>
    <w:rsid w:val="0030415B"/>
    <w:rsid w:val="003172DC"/>
    <w:rsid w:val="00326069"/>
    <w:rsid w:val="0035462D"/>
    <w:rsid w:val="00372D33"/>
    <w:rsid w:val="003927A8"/>
    <w:rsid w:val="003A1F16"/>
    <w:rsid w:val="003A692B"/>
    <w:rsid w:val="003B40AD"/>
    <w:rsid w:val="003C4E37"/>
    <w:rsid w:val="003E16BE"/>
    <w:rsid w:val="00401855"/>
    <w:rsid w:val="00477455"/>
    <w:rsid w:val="004D12B4"/>
    <w:rsid w:val="004D3578"/>
    <w:rsid w:val="004D380D"/>
    <w:rsid w:val="004E213A"/>
    <w:rsid w:val="00503171"/>
    <w:rsid w:val="00506C28"/>
    <w:rsid w:val="005202CA"/>
    <w:rsid w:val="00534DA0"/>
    <w:rsid w:val="00543E6C"/>
    <w:rsid w:val="00565087"/>
    <w:rsid w:val="0056573F"/>
    <w:rsid w:val="005C7151"/>
    <w:rsid w:val="00611566"/>
    <w:rsid w:val="00646D99"/>
    <w:rsid w:val="00656910"/>
    <w:rsid w:val="00673251"/>
    <w:rsid w:val="006C3583"/>
    <w:rsid w:val="006C66D8"/>
    <w:rsid w:val="006D1E24"/>
    <w:rsid w:val="006E1417"/>
    <w:rsid w:val="006F6A2C"/>
    <w:rsid w:val="00732457"/>
    <w:rsid w:val="00734A5B"/>
    <w:rsid w:val="00744E76"/>
    <w:rsid w:val="00750B19"/>
    <w:rsid w:val="00757D40"/>
    <w:rsid w:val="00781F0F"/>
    <w:rsid w:val="0078727C"/>
    <w:rsid w:val="0079049D"/>
    <w:rsid w:val="007951F3"/>
    <w:rsid w:val="007B18D8"/>
    <w:rsid w:val="007C095F"/>
    <w:rsid w:val="007F2F67"/>
    <w:rsid w:val="008028A4"/>
    <w:rsid w:val="00813245"/>
    <w:rsid w:val="008768CA"/>
    <w:rsid w:val="00877EF9"/>
    <w:rsid w:val="00880559"/>
    <w:rsid w:val="008B5306"/>
    <w:rsid w:val="0090271F"/>
    <w:rsid w:val="00902DB9"/>
    <w:rsid w:val="0090466A"/>
    <w:rsid w:val="00936071"/>
    <w:rsid w:val="00940212"/>
    <w:rsid w:val="00942EC2"/>
    <w:rsid w:val="00961B32"/>
    <w:rsid w:val="00974BB0"/>
    <w:rsid w:val="009A0AF3"/>
    <w:rsid w:val="009B07CD"/>
    <w:rsid w:val="009C19E9"/>
    <w:rsid w:val="00A10F02"/>
    <w:rsid w:val="00A204CA"/>
    <w:rsid w:val="00A53724"/>
    <w:rsid w:val="00A82346"/>
    <w:rsid w:val="00A9671C"/>
    <w:rsid w:val="00A96C47"/>
    <w:rsid w:val="00AA1553"/>
    <w:rsid w:val="00B15449"/>
    <w:rsid w:val="00B17038"/>
    <w:rsid w:val="00B47FD1"/>
    <w:rsid w:val="00B516BB"/>
    <w:rsid w:val="00B75D22"/>
    <w:rsid w:val="00BC2D77"/>
    <w:rsid w:val="00BC73C9"/>
    <w:rsid w:val="00C12B51"/>
    <w:rsid w:val="00C24650"/>
    <w:rsid w:val="00C33079"/>
    <w:rsid w:val="00C5304B"/>
    <w:rsid w:val="00C7394D"/>
    <w:rsid w:val="00C80EA1"/>
    <w:rsid w:val="00C83A13"/>
    <w:rsid w:val="00C92967"/>
    <w:rsid w:val="00CA3D0C"/>
    <w:rsid w:val="00CA654B"/>
    <w:rsid w:val="00CD4C7B"/>
    <w:rsid w:val="00D2243A"/>
    <w:rsid w:val="00D63F1D"/>
    <w:rsid w:val="00D738D6"/>
    <w:rsid w:val="00D80795"/>
    <w:rsid w:val="00D87E00"/>
    <w:rsid w:val="00D9134D"/>
    <w:rsid w:val="00D96D11"/>
    <w:rsid w:val="00DA7A03"/>
    <w:rsid w:val="00DB1818"/>
    <w:rsid w:val="00DC309B"/>
    <w:rsid w:val="00DC4DA2"/>
    <w:rsid w:val="00E4025E"/>
    <w:rsid w:val="00E62835"/>
    <w:rsid w:val="00E77645"/>
    <w:rsid w:val="00E83697"/>
    <w:rsid w:val="00EC4A25"/>
    <w:rsid w:val="00F025A2"/>
    <w:rsid w:val="00F07388"/>
    <w:rsid w:val="00F2026E"/>
    <w:rsid w:val="00F2210A"/>
    <w:rsid w:val="00F37743"/>
    <w:rsid w:val="00F54A3D"/>
    <w:rsid w:val="00F54BF3"/>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1333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B17038"/>
    <w:pPr>
      <w:ind w:left="720"/>
      <w:contextualSpacing/>
    </w:pPr>
  </w:style>
  <w:style w:type="character" w:customStyle="1" w:styleId="TALCar">
    <w:name w:val="TAL Car"/>
    <w:link w:val="TAL"/>
    <w:rsid w:val="00A96C47"/>
    <w:rPr>
      <w:rFonts w:ascii="Arial" w:hAnsi="Arial"/>
      <w:sz w:val="18"/>
      <w:lang w:eastAsia="en-US"/>
    </w:rPr>
  </w:style>
  <w:style w:type="paragraph" w:customStyle="1" w:styleId="TALCharChar">
    <w:name w:val="TAL Char Char"/>
    <w:basedOn w:val="Normal"/>
    <w:link w:val="TALCharCharChar"/>
    <w:rsid w:val="00A96C47"/>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A96C47"/>
    <w:rPr>
      <w:rFonts w:ascii="Arial" w:eastAsia="Malgun Gothic" w:hAnsi="Arial"/>
      <w:sz w:val="18"/>
      <w:lang w:val="x-none" w:eastAsia="ja-JP"/>
    </w:rPr>
  </w:style>
  <w:style w:type="character" w:customStyle="1" w:styleId="TAHCar">
    <w:name w:val="TAH Car"/>
    <w:link w:val="TAH"/>
    <w:locked/>
    <w:rsid w:val="00A96C47"/>
    <w:rPr>
      <w:rFonts w:ascii="Arial" w:hAnsi="Arial"/>
      <w:b/>
      <w:sz w:val="18"/>
      <w:lang w:eastAsia="en-US"/>
    </w:rPr>
  </w:style>
  <w:style w:type="table" w:styleId="TableGrid">
    <w:name w:val="Table Grid"/>
    <w:basedOn w:val="TableNormal"/>
    <w:rsid w:val="00A96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17325"/>
    <w:rPr>
      <w:rFonts w:ascii="Arial" w:hAnsi="Arial"/>
      <w:sz w:val="28"/>
      <w:lang w:eastAsia="en-US"/>
    </w:rPr>
  </w:style>
  <w:style w:type="character" w:styleId="Mention">
    <w:name w:val="Mention"/>
    <w:basedOn w:val="DefaultParagraphFont"/>
    <w:uiPriority w:val="99"/>
    <w:semiHidden/>
    <w:unhideWhenUsed/>
    <w:rsid w:val="00C7394D"/>
    <w:rPr>
      <w:color w:val="2B579A"/>
      <w:shd w:val="clear" w:color="auto" w:fill="E6E6E6"/>
    </w:rPr>
  </w:style>
  <w:style w:type="paragraph" w:customStyle="1" w:styleId="Doc-text2">
    <w:name w:val="Doc-text2"/>
    <w:basedOn w:val="Normal"/>
    <w:link w:val="Doc-text2Char"/>
    <w:qFormat/>
    <w:rsid w:val="00E402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025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398306">
      <w:bodyDiv w:val="1"/>
      <w:marLeft w:val="0"/>
      <w:marRight w:val="0"/>
      <w:marTop w:val="0"/>
      <w:marBottom w:val="0"/>
      <w:divBdr>
        <w:top w:val="none" w:sz="0" w:space="0" w:color="auto"/>
        <w:left w:val="none" w:sz="0" w:space="0" w:color="auto"/>
        <w:bottom w:val="none" w:sz="0" w:space="0" w:color="auto"/>
        <w:right w:val="none" w:sz="0" w:space="0" w:color="auto"/>
      </w:divBdr>
      <w:divsChild>
        <w:div w:id="914510576">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7bis/Docs/R2-170392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SP-5AIRPNAIUNRU-859666464-272</_dlc_DocId>
    <_dlc_DocIdUrl xmlns="71c5aaf6-e6ce-465b-b873-5148d2a4c105">
      <Url>https://nokia.sharepoint.com/sites/c5g/e2earch/_layouts/15/DocIdRedir.aspx?ID=SP-5AIRPNAIUNRU-859666464-272</Url>
      <Description>SP-5AIRPNAIUNRU-859666464-272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E07B8F69-B404-4EBE-BC1C-6BBCF2F1DAA2}">
  <ds:schemaRefs>
    <ds:schemaRef ds:uri="http://purl.org/dc/elements/1.1/"/>
    <ds:schemaRef ds:uri="3b34c8f0-1ef5-4d1e-bb66-517ce7fe7356"/>
    <ds:schemaRef ds:uri="http://schemas.openxmlformats.org/package/2006/metadata/core-properties"/>
    <ds:schemaRef ds:uri="a3840f4f-04be-43d1-b2ef-6ff1382503c7"/>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71c5aaf6-e6ce-465b-b873-5148d2a4c105"/>
    <ds:schemaRef ds:uri="http://www.w3.org/XML/1998/namespace"/>
  </ds:schemaRefs>
</ds:datastoreItem>
</file>

<file path=customXml/itemProps3.xml><?xml version="1.0" encoding="utf-8"?>
<ds:datastoreItem xmlns:ds="http://schemas.openxmlformats.org/officeDocument/2006/customXml" ds:itemID="{CE0D9902-8358-42DC-BA77-DE7185611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C68BC2-137A-4488-A8A4-6EC7B0C9D5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79</TotalTime>
  <Pages>3</Pages>
  <Words>931</Words>
  <Characters>7543</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6</cp:revision>
  <dcterms:created xsi:type="dcterms:W3CDTF">2017-05-02T13:42:00Z</dcterms:created>
  <dcterms:modified xsi:type="dcterms:W3CDTF">2017-05-05T14:58:00Z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a54dde08-9966-40ed-a334-b2451f40d5cc</vt:lpwstr>
  </property>
</Properties>
</file>